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RESOLUTION 2020-18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AUTHORIZING ISSUANCE OF STUDENT FEE ACCOUNT CREDITS FOR ITEMS NOT USED DUE TO COVID-19 SHUTDOWN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the Novel Coronavirus (COVID-19) is impacting our region, state, and nation;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Indiana Governor Eric Holcomb declared a Public Health Emergency on March 6, 2020 via Executive Order 20-02;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school buildings statewide were ordered closed through the end of the 19-20 school year as a result of this Public Health Emergency;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some student fees appropriately charged by the School Corporation for the 19-20 school year represented items not utilized as a result of the unexpected cessation of in-person instruction;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WHEREAS, IC 20-26-5-4(20) allows the Board of School Trustees to exercise any other power or make any expenditure in carrying out its general powers and purposes which is reasonable from a business or educational standpoint;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NOW, THEREFORE, BE IT RESOLVED that the Board of School Trustees does hereby authorize its administration to address these unutilized items by issuance of account credits to families at the start of the 20-21 school year in amounts representative of the cost of the unutilized items; and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 IT FURTHER RESOLVED that a refund will be issued to those families who no longer have students enrolled in the school corporation; and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 IT FURTHER RESOLVED that the administration of the School Corporation is hereby authorized to take all action necessary or desirable to carry out the intent of this resolution.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 xml:space="preserve">Approved by the Board of School Trustees this 20th day of July, 2020.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bookmarkStart w:colFirst="0" w:colLast="0" w:name="_heading=h.afn7fwdxygc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Beth Smith,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bookmarkStart w:colFirst="0" w:colLast="0" w:name="_heading=h.lanbsiyliz7u" w:id="2"/>
      <w:bookmarkEnd w:id="2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65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655A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65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655A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655A3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655A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655A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gaYThT31c3tsq0JahqyoW4T2A==">AMUW2mUmRm0D0y0V9PHsePJj96yAV13HSzPZ6/gGYjxpO10ubVQvExT+FcyGMTAc05gAqFai0f84aB/dyU0xxeDeQs2EHs1qPzGLpy79VrqZcQS7LCGR8VUQdnctarUINoii1yqAxTOC6qXR84Pmg9UHeyoz+CrLNe7uoy7oPIzf9yWmJGs/PgQ=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2020-06-23T17:59:00Z</dcterms:created>
  <dc:creator>Jessica L. Billingsley</dc:creator>
</cp:coreProperties>
</file>