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AUTHORIZING  PENSION BOND TAX NEUTRALITY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2020-31</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recognizing that bonds had been previously issued to fund then existing retirement and severance liabilities, and that such bonds remain an obligation of the school corporation until retired; and</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required the adoption of a percentage reduction in the annual property tax rates in certain funds in order to offset the increase in the debt service rate required to finance such bonds; and </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State of Indiana required the School Corporation to reduce the levy for one or more funds in  2020 by an equal amount to the levy for debt service on its Taxable General Obligation Pension Bonds.</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Mt. Vernon Community School Corporation maximum levy for its Operations Fund for year 2021 will be reduced by the amount of the levy for its Retirement/Severance Bond Dent Service allocable to the Taxable General Obligation Pension Bonds.</w:t>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enacted P.L. 145-2012, providing for a phased percentage reduction the required annual property tax rate offset in certain other funds;</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Board of School Trustees resolved to adopt the following adjustment percentage authorized by IC 20-48-1-2(f)</w:t>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property taxes first due and payable after 2018, one hundred percent (100%)</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17th day of August, 2020.</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Beth Smith, Secretary</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