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EXHIBIT A</w:t>
      </w:r>
    </w:p>
    <w:p w:rsidR="00000000" w:rsidDel="00000000" w:rsidP="00000000" w:rsidRDefault="00000000" w:rsidRPr="00000000" w14:paraId="00000002">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RESOLUTION 2020-39</w:t>
      </w:r>
    </w:p>
    <w:p w:rsidR="00000000" w:rsidDel="00000000" w:rsidP="00000000" w:rsidRDefault="00000000" w:rsidRPr="00000000" w14:paraId="00000003">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TECHNOLOGY PROJECT RESOLUTION</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Trustees (the "Board") of Mt. Vernon Community School Corporation (the "School Corporation") has carefully studied all of the known options and feels that the proposed renovation of and improvements to school facilities throughout the School Corporation, including technology improvements (the "Technology Project") is in the best interests of the present and future students to be served by these facilities and equipment; and</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pursuant to Indiana Code Title 20, Article 47, Chapter 3, this Board now finds that a need exists for the Technology Project, and that the School Corporation cannot provide the necessary funds to pay the cost of the Technology Project required to meet such need; now, therefore,</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a need exists for the Technology Project, and that the Technology Project cannot be funded from sufficient funds available to the School Corporation, and that this Board proceed to take such steps as may be necessary to secure the Technology Project and leasing of school facilities as provided by the Indiana Code Title 20, Article 47, Chapter 3.</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estimated hard and soft costs of the Technology Project are $600,000, with estimated costs of issuance (including capitalized interest, less interest earnings and interim lease rental) of $100,000, resulting in total estimated Technology Project costs of $700,000.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BE IT FURTHER RESOLVED, that the estimated $700,000 will be funded by one or more of the following:  Operations Fund, Common School Fund Loan, general obligation bond issue and/or a building corporation bond issue with an anticipated gross impact on the Debt Service Fund tax rate of $0.0163 per $100 assessed valuation based on an estimated $1,133,043,631 assessed valuation beginning in 2021.  However, as existing obligations mature, the anticipated net increase to the Debt Service Fund tax rate is expected to be $0.00 above the current rate.</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upon the recommendation of the School Corporation’s underwriter and counsel, funding for the Technology Project may be combined with other projects to be funded by the Mt. Vernon of Hancock County Multi-School Building Corporation Ad Valorem Property Tax First Mortgage Bonds, Series 2021, provided that the Technology Project can be repaid within the lease rental payment parameters set forth at the hearing held by this Board on July 20, 2020. </w:t>
      </w:r>
    </w:p>
    <w:p w:rsidR="00000000" w:rsidDel="00000000" w:rsidP="00000000" w:rsidRDefault="00000000" w:rsidRPr="00000000" w14:paraId="0000000A">
      <w:pPr>
        <w:keepNext w:val="1"/>
        <w:spacing w:line="48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5</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day of October, 2020.</w:t>
      </w:r>
    </w:p>
    <w:p w:rsidR="00000000" w:rsidDel="00000000" w:rsidP="00000000" w:rsidRDefault="00000000" w:rsidRPr="00000000" w14:paraId="0000000B">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E">
      <w:pPr>
        <w:keepNext w:val="1"/>
        <w:tabs>
          <w:tab w:val="right" w:pos="9360"/>
          <w:tab w:val="right" w:pos="84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F">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3">
      <w:pPr>
        <w:keepNext w:val="1"/>
        <w:tabs>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4">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