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APPROVE TRANSFERS WITHIN FUNDS FOR FISCAL YEAR 2020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2020-46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all school account appropriations must close with a positive or zero balance; and</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School Corporation must transfer funds within the Education, Operations, Debt Service, Rainy Day, and Pension Debt Funds from line items that were unspent of which have remaining appropriations to line items in need of additional funds;</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adjust the Education, Operations, Debt Service, Rainy Day, and Pension Debt funds account lines to reflect a positive or zero balance at the conclusion of fiscal year 2020.</w:t>
      </w:r>
    </w:p>
    <w:p w:rsidR="00000000" w:rsidDel="00000000" w:rsidP="00000000" w:rsidRDefault="00000000" w:rsidRPr="00000000" w14:paraId="0000000F">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14th day of December, 2020.</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Beth Smith, Secretary</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