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2166" w:rsidRDefault="00453F97">
      <w:pPr>
        <w:spacing w:after="0" w:line="240" w:lineRule="auto"/>
        <w:jc w:val="center"/>
        <w:rPr>
          <w:rFonts w:ascii="Verdana" w:eastAsia="Verdana" w:hAnsi="Verdana" w:cs="Verdana"/>
          <w:b/>
          <w:sz w:val="26"/>
          <w:szCs w:val="26"/>
          <w:u w:val="single"/>
        </w:rPr>
      </w:pPr>
      <w:r>
        <w:rPr>
          <w:rFonts w:ascii="Verdana" w:eastAsia="Verdana" w:hAnsi="Verdana" w:cs="Verdana"/>
          <w:b/>
          <w:sz w:val="26"/>
          <w:szCs w:val="26"/>
          <w:u w:val="single"/>
        </w:rPr>
        <w:t xml:space="preserve">Resolution Opposing the Establishment of Education Savings Accounts </w:t>
      </w:r>
    </w:p>
    <w:p w14:paraId="67BE3331" w14:textId="77777777" w:rsidR="004F2B15" w:rsidRDefault="004F2B15">
      <w:pPr>
        <w:spacing w:after="0" w:line="240" w:lineRule="auto"/>
        <w:jc w:val="center"/>
        <w:rPr>
          <w:rFonts w:ascii="Verdana" w:eastAsia="Verdana" w:hAnsi="Verdana" w:cs="Verdana"/>
          <w:b/>
          <w:sz w:val="26"/>
          <w:szCs w:val="26"/>
          <w:u w:val="single"/>
        </w:rPr>
      </w:pPr>
    </w:p>
    <w:p w14:paraId="06BED831" w14:textId="437F35E8" w:rsidR="004F2B15" w:rsidRDefault="004F2B15">
      <w:pPr>
        <w:spacing w:after="0" w:line="240" w:lineRule="auto"/>
        <w:jc w:val="center"/>
        <w:rPr>
          <w:rFonts w:ascii="Verdana" w:eastAsia="Verdana" w:hAnsi="Verdana" w:cs="Verdana"/>
          <w:b/>
          <w:sz w:val="26"/>
          <w:szCs w:val="26"/>
          <w:u w:val="single"/>
        </w:rPr>
      </w:pPr>
      <w:r>
        <w:rPr>
          <w:rFonts w:ascii="Verdana" w:eastAsia="Verdana" w:hAnsi="Verdana" w:cs="Verdana"/>
          <w:b/>
          <w:sz w:val="26"/>
          <w:szCs w:val="26"/>
          <w:u w:val="single"/>
        </w:rPr>
        <w:t>Resolution 2021-11</w:t>
      </w:r>
    </w:p>
    <w:p w14:paraId="00000002" w14:textId="77777777" w:rsidR="004F2166" w:rsidRDefault="004F2166">
      <w:pPr>
        <w:widowControl w:val="0"/>
        <w:pBdr>
          <w:top w:val="nil"/>
          <w:left w:val="nil"/>
          <w:bottom w:val="nil"/>
          <w:right w:val="nil"/>
          <w:between w:val="nil"/>
        </w:pBdr>
        <w:tabs>
          <w:tab w:val="left" w:pos="731"/>
        </w:tabs>
        <w:spacing w:after="0" w:line="240" w:lineRule="auto"/>
        <w:rPr>
          <w:rFonts w:ascii="Verdana" w:eastAsia="Verdana" w:hAnsi="Verdana" w:cs="Verdana"/>
          <w:color w:val="000000"/>
          <w:sz w:val="24"/>
          <w:szCs w:val="24"/>
        </w:rPr>
      </w:pPr>
    </w:p>
    <w:p w14:paraId="00000003" w14:textId="17127FF1" w:rsidR="004F2166" w:rsidRPr="0020275C" w:rsidRDefault="00BA73FF">
      <w:pPr>
        <w:widowControl w:val="0"/>
        <w:pBdr>
          <w:top w:val="nil"/>
          <w:left w:val="nil"/>
          <w:bottom w:val="nil"/>
          <w:right w:val="nil"/>
          <w:between w:val="nil"/>
        </w:pBdr>
        <w:tabs>
          <w:tab w:val="left" w:pos="731"/>
        </w:tabs>
        <w:spacing w:after="0" w:line="240" w:lineRule="auto"/>
        <w:rPr>
          <w:rFonts w:ascii="Times New Roman" w:eastAsia="Verdana" w:hAnsi="Times New Roman" w:cs="Times New Roman"/>
          <w:color w:val="000000"/>
          <w:sz w:val="28"/>
          <w:szCs w:val="28"/>
        </w:rPr>
      </w:pPr>
      <w:r>
        <w:rPr>
          <w:rFonts w:ascii="Times New Roman" w:eastAsia="Verdana" w:hAnsi="Times New Roman" w:cs="Times New Roman"/>
          <w:b/>
          <w:color w:val="000000"/>
          <w:sz w:val="24"/>
          <w:szCs w:val="24"/>
        </w:rPr>
        <w:tab/>
      </w:r>
      <w:proofErr w:type="gramStart"/>
      <w:r w:rsidR="00453F97" w:rsidRPr="00A91E41">
        <w:rPr>
          <w:rFonts w:ascii="Times New Roman" w:eastAsia="Verdana" w:hAnsi="Times New Roman" w:cs="Times New Roman"/>
          <w:b/>
          <w:color w:val="000000"/>
          <w:sz w:val="24"/>
          <w:szCs w:val="24"/>
        </w:rPr>
        <w:t>WHEREAS</w:t>
      </w:r>
      <w:r w:rsidR="00453F97" w:rsidRPr="00A91E41">
        <w:rPr>
          <w:rFonts w:ascii="Times New Roman" w:eastAsia="Verdana" w:hAnsi="Times New Roman" w:cs="Times New Roman"/>
          <w:color w:val="000000"/>
          <w:sz w:val="24"/>
          <w:szCs w:val="24"/>
        </w:rPr>
        <w:t>,</w:t>
      </w:r>
      <w:proofErr w:type="gramEnd"/>
      <w:r w:rsidR="00453F97" w:rsidRPr="00A91E41">
        <w:rPr>
          <w:rFonts w:ascii="Times New Roman" w:eastAsia="Verdana" w:hAnsi="Times New Roman" w:cs="Times New Roman"/>
          <w:color w:val="000000"/>
          <w:sz w:val="24"/>
          <w:szCs w:val="24"/>
        </w:rPr>
        <w:t xml:space="preserve"> </w:t>
      </w:r>
      <w:r w:rsidR="0020275C" w:rsidRPr="0020275C">
        <w:rPr>
          <w:rFonts w:ascii="Times New Roman" w:hAnsi="Times New Roman" w:cs="Times New Roman"/>
          <w:sz w:val="24"/>
          <w:szCs w:val="24"/>
        </w:rPr>
        <w:t>the Indiana General Assembly during its 2021 legislative session is considering House Bill 1005, Senate Bill 412, Senate Bill 413, and other bills that establish Education Savings Accounts (ESAs) and expand vouchers.</w:t>
      </w:r>
    </w:p>
    <w:p w14:paraId="00000004" w14:textId="77777777" w:rsidR="004F2166" w:rsidRPr="00A91E41" w:rsidRDefault="004F2166">
      <w:pPr>
        <w:widowControl w:val="0"/>
        <w:pBdr>
          <w:top w:val="nil"/>
          <w:left w:val="nil"/>
          <w:bottom w:val="nil"/>
          <w:right w:val="nil"/>
          <w:between w:val="nil"/>
        </w:pBdr>
        <w:tabs>
          <w:tab w:val="left" w:pos="731"/>
        </w:tabs>
        <w:spacing w:after="0" w:line="240" w:lineRule="auto"/>
        <w:rPr>
          <w:rFonts w:ascii="Times New Roman" w:eastAsia="Verdana" w:hAnsi="Times New Roman" w:cs="Times New Roman"/>
          <w:color w:val="000000"/>
          <w:sz w:val="24"/>
          <w:szCs w:val="24"/>
        </w:rPr>
      </w:pPr>
    </w:p>
    <w:p w14:paraId="627AC6CF" w14:textId="665E684F" w:rsidR="0020275C" w:rsidRPr="0020275C" w:rsidRDefault="00BA73FF" w:rsidP="0020275C">
      <w:pPr>
        <w:pStyle w:val="p2"/>
        <w:ind w:firstLine="0"/>
        <w:rPr>
          <w:i/>
          <w:sz w:val="24"/>
        </w:rPr>
      </w:pPr>
      <w:r>
        <w:rPr>
          <w:rFonts w:eastAsia="Verdana"/>
          <w:b/>
          <w:color w:val="000000"/>
          <w:sz w:val="24"/>
        </w:rPr>
        <w:tab/>
      </w:r>
      <w:r w:rsidR="00453F97" w:rsidRPr="00A91E41">
        <w:rPr>
          <w:rFonts w:eastAsia="Verdana"/>
          <w:b/>
          <w:color w:val="000000"/>
          <w:sz w:val="24"/>
        </w:rPr>
        <w:t>WHEREAS</w:t>
      </w:r>
      <w:r w:rsidR="00453F97" w:rsidRPr="00A91E41">
        <w:rPr>
          <w:rFonts w:eastAsia="Verdana"/>
          <w:color w:val="000000"/>
          <w:sz w:val="24"/>
        </w:rPr>
        <w:t xml:space="preserve">, </w:t>
      </w:r>
      <w:r w:rsidR="0020275C" w:rsidRPr="0020275C">
        <w:rPr>
          <w:sz w:val="24"/>
        </w:rPr>
        <w:t xml:space="preserve">the Board has determined that the Indiana General Assembly should not enact Education Savings Accounts, or expand vouchers, and should continue to promote and fully invest in Indiana’s public schools, more specifically, </w:t>
      </w:r>
      <w:r w:rsidR="0020275C" w:rsidRPr="0020275C">
        <w:rPr>
          <w:i/>
          <w:sz w:val="24"/>
        </w:rPr>
        <w:t>(pick any provisions below that apply or add your own relevant provisions)</w:t>
      </w:r>
    </w:p>
    <w:p w14:paraId="1B29EFA8" w14:textId="77777777" w:rsidR="0020275C" w:rsidRPr="0020275C" w:rsidRDefault="0020275C" w:rsidP="0020275C">
      <w:pPr>
        <w:pStyle w:val="p2"/>
        <w:rPr>
          <w:i/>
          <w:sz w:val="24"/>
        </w:rPr>
      </w:pPr>
    </w:p>
    <w:p w14:paraId="32DBCE8F" w14:textId="77777777" w:rsidR="0020275C" w:rsidRPr="0020275C" w:rsidRDefault="0020275C" w:rsidP="0020275C">
      <w:pPr>
        <w:pStyle w:val="ListParagraph"/>
        <w:numPr>
          <w:ilvl w:val="0"/>
          <w:numId w:val="4"/>
        </w:numPr>
        <w:autoSpaceDE w:val="0"/>
        <w:autoSpaceDN w:val="0"/>
        <w:adjustRightInd w:val="0"/>
        <w:spacing w:after="0" w:line="240" w:lineRule="auto"/>
        <w:ind w:left="900"/>
        <w:contextualSpacing w:val="0"/>
        <w:rPr>
          <w:rFonts w:ascii="Times New Roman" w:hAnsi="Times New Roman" w:cs="Times New Roman"/>
          <w:i/>
          <w:sz w:val="24"/>
          <w:szCs w:val="24"/>
        </w:rPr>
      </w:pPr>
      <w:r w:rsidRPr="0020275C">
        <w:rPr>
          <w:rFonts w:ascii="Times New Roman" w:hAnsi="Times New Roman" w:cs="Times New Roman"/>
          <w:i/>
          <w:sz w:val="24"/>
          <w:szCs w:val="24"/>
        </w:rPr>
        <w:t>To further the public good, public funds should be invested in improving the schools designed to serve all children and to aid in improving Indiana public school teachers’ salaries as recommended by the Governor’s Teacher Compensation Commission in its report of December 14, 2020.</w:t>
      </w:r>
    </w:p>
    <w:p w14:paraId="35900536" w14:textId="77777777" w:rsidR="0020275C" w:rsidRPr="0020275C" w:rsidRDefault="0020275C" w:rsidP="0020275C">
      <w:pPr>
        <w:numPr>
          <w:ilvl w:val="0"/>
          <w:numId w:val="3"/>
        </w:numPr>
        <w:tabs>
          <w:tab w:val="clear" w:pos="720"/>
          <w:tab w:val="num" w:pos="900"/>
        </w:tabs>
        <w:autoSpaceDE w:val="0"/>
        <w:autoSpaceDN w:val="0"/>
        <w:adjustRightInd w:val="0"/>
        <w:spacing w:after="0" w:line="240" w:lineRule="auto"/>
        <w:ind w:left="900"/>
        <w:rPr>
          <w:rFonts w:ascii="Times New Roman" w:hAnsi="Times New Roman" w:cs="Times New Roman"/>
          <w:i/>
          <w:sz w:val="24"/>
          <w:szCs w:val="24"/>
        </w:rPr>
      </w:pPr>
      <w:r w:rsidRPr="0020275C">
        <w:rPr>
          <w:rFonts w:ascii="Times New Roman" w:hAnsi="Times New Roman" w:cs="Times New Roman"/>
          <w:i/>
          <w:sz w:val="24"/>
          <w:szCs w:val="24"/>
        </w:rPr>
        <w:t>Indiana already has school choice in the form of open enrollment, charter schools, enrollment in virtual online schools, and the Choice Scholarship program.</w:t>
      </w:r>
    </w:p>
    <w:p w14:paraId="7124CA79" w14:textId="77777777" w:rsidR="0020275C" w:rsidRPr="0020275C" w:rsidRDefault="0020275C" w:rsidP="0020275C">
      <w:pPr>
        <w:numPr>
          <w:ilvl w:val="0"/>
          <w:numId w:val="3"/>
        </w:numPr>
        <w:tabs>
          <w:tab w:val="clear" w:pos="720"/>
          <w:tab w:val="num" w:pos="900"/>
        </w:tabs>
        <w:autoSpaceDE w:val="0"/>
        <w:autoSpaceDN w:val="0"/>
        <w:adjustRightInd w:val="0"/>
        <w:spacing w:after="0" w:line="240" w:lineRule="auto"/>
        <w:ind w:left="900"/>
        <w:rPr>
          <w:rFonts w:ascii="Times New Roman" w:hAnsi="Times New Roman" w:cs="Times New Roman"/>
          <w:i/>
          <w:sz w:val="24"/>
          <w:szCs w:val="24"/>
        </w:rPr>
      </w:pPr>
      <w:r w:rsidRPr="0020275C">
        <w:rPr>
          <w:rFonts w:ascii="Times New Roman" w:hAnsi="Times New Roman" w:cs="Times New Roman"/>
          <w:i/>
          <w:sz w:val="24"/>
          <w:szCs w:val="24"/>
        </w:rPr>
        <w:t xml:space="preserve">Public schools are required to operate in an open, transparent way with all expenditures and decision-making. Nonpublic schools are not held to that same public standard. </w:t>
      </w:r>
    </w:p>
    <w:p w14:paraId="2B786657" w14:textId="77777777" w:rsidR="0020275C" w:rsidRPr="0020275C" w:rsidRDefault="0020275C" w:rsidP="0020275C">
      <w:pPr>
        <w:numPr>
          <w:ilvl w:val="0"/>
          <w:numId w:val="3"/>
        </w:numPr>
        <w:tabs>
          <w:tab w:val="clear" w:pos="720"/>
          <w:tab w:val="num" w:pos="900"/>
        </w:tabs>
        <w:autoSpaceDE w:val="0"/>
        <w:autoSpaceDN w:val="0"/>
        <w:adjustRightInd w:val="0"/>
        <w:spacing w:after="0" w:line="240" w:lineRule="auto"/>
        <w:ind w:left="900"/>
        <w:rPr>
          <w:rFonts w:ascii="Times New Roman" w:hAnsi="Times New Roman" w:cs="Times New Roman"/>
          <w:i/>
          <w:sz w:val="24"/>
          <w:szCs w:val="24"/>
        </w:rPr>
      </w:pPr>
      <w:r w:rsidRPr="0020275C">
        <w:rPr>
          <w:rFonts w:ascii="Times New Roman" w:hAnsi="Times New Roman" w:cs="Times New Roman"/>
          <w:i/>
          <w:sz w:val="24"/>
          <w:szCs w:val="24"/>
        </w:rPr>
        <w:t>Legislators should reduce the over-regulation of state and federal bureaucracy that hinders the ability of local schools to innovate and be responsive to parent and community needs.</w:t>
      </w:r>
    </w:p>
    <w:p w14:paraId="0000000B" w14:textId="44FADE1D" w:rsidR="004F2166" w:rsidRPr="00A91E41" w:rsidRDefault="004F2166" w:rsidP="0020275C">
      <w:pPr>
        <w:widowControl w:val="0"/>
        <w:pBdr>
          <w:top w:val="nil"/>
          <w:left w:val="nil"/>
          <w:bottom w:val="nil"/>
          <w:right w:val="nil"/>
          <w:between w:val="nil"/>
        </w:pBdr>
        <w:tabs>
          <w:tab w:val="left" w:pos="731"/>
        </w:tabs>
        <w:spacing w:after="0" w:line="240" w:lineRule="auto"/>
        <w:rPr>
          <w:rFonts w:ascii="Times New Roman" w:eastAsia="Verdana" w:hAnsi="Times New Roman" w:cs="Times New Roman"/>
          <w:sz w:val="24"/>
          <w:szCs w:val="24"/>
        </w:rPr>
      </w:pPr>
    </w:p>
    <w:p w14:paraId="0000000C" w14:textId="20B05C80" w:rsidR="004F2166" w:rsidRPr="00A91E41" w:rsidRDefault="00453F97" w:rsidP="00BA73FF">
      <w:pPr>
        <w:spacing w:after="0" w:line="240" w:lineRule="auto"/>
        <w:ind w:firstLine="540"/>
        <w:rPr>
          <w:rFonts w:ascii="Times New Roman" w:eastAsia="Verdana" w:hAnsi="Times New Roman" w:cs="Times New Roman"/>
          <w:sz w:val="24"/>
          <w:szCs w:val="24"/>
        </w:rPr>
      </w:pPr>
      <w:proofErr w:type="gramStart"/>
      <w:r w:rsidRPr="00A91E41">
        <w:rPr>
          <w:rFonts w:ascii="Times New Roman" w:eastAsia="Verdana" w:hAnsi="Times New Roman" w:cs="Times New Roman"/>
          <w:b/>
          <w:sz w:val="24"/>
          <w:szCs w:val="24"/>
        </w:rPr>
        <w:t>WHEREAS</w:t>
      </w:r>
      <w:r w:rsidRPr="00A91E41">
        <w:rPr>
          <w:rFonts w:ascii="Times New Roman" w:eastAsia="Verdana" w:hAnsi="Times New Roman" w:cs="Times New Roman"/>
          <w:sz w:val="24"/>
          <w:szCs w:val="24"/>
        </w:rPr>
        <w:t>,</w:t>
      </w:r>
      <w:proofErr w:type="gramEnd"/>
      <w:r w:rsidRPr="00A91E41">
        <w:rPr>
          <w:rFonts w:ascii="Times New Roman" w:eastAsia="Verdana" w:hAnsi="Times New Roman" w:cs="Times New Roman"/>
          <w:sz w:val="24"/>
          <w:szCs w:val="24"/>
        </w:rPr>
        <w:t xml:space="preserve"> </w:t>
      </w:r>
      <w:r w:rsidR="0020275C" w:rsidRPr="0020275C">
        <w:rPr>
          <w:rFonts w:ascii="Times New Roman" w:hAnsi="Times New Roman" w:cs="Times New Roman"/>
          <w:iCs/>
          <w:sz w:val="24"/>
          <w:szCs w:val="24"/>
        </w:rPr>
        <w:t>the costs of Education Savings Accounts and school vouchers are covered exclusively by our state’s school tuition support fund, further providing fewer public dollars to fund our public schools and increase teacher salaries.</w:t>
      </w:r>
    </w:p>
    <w:p w14:paraId="0000000D" w14:textId="77777777" w:rsidR="004F2166" w:rsidRPr="00A91E41" w:rsidRDefault="004F2166">
      <w:pPr>
        <w:spacing w:after="0"/>
        <w:ind w:left="900"/>
        <w:rPr>
          <w:rFonts w:ascii="Times New Roman" w:eastAsia="Verdana" w:hAnsi="Times New Roman" w:cs="Times New Roman"/>
          <w:sz w:val="24"/>
          <w:szCs w:val="24"/>
        </w:rPr>
      </w:pPr>
    </w:p>
    <w:p w14:paraId="0000000E" w14:textId="640050D9" w:rsidR="004F2166" w:rsidRPr="00A91E41" w:rsidRDefault="00BA73FF">
      <w:pPr>
        <w:widowControl w:val="0"/>
        <w:pBdr>
          <w:top w:val="nil"/>
          <w:left w:val="nil"/>
          <w:bottom w:val="nil"/>
          <w:right w:val="nil"/>
          <w:between w:val="nil"/>
        </w:pBdr>
        <w:tabs>
          <w:tab w:val="left" w:pos="731"/>
        </w:tabs>
        <w:spacing w:after="240" w:line="240" w:lineRule="auto"/>
        <w:rPr>
          <w:rFonts w:ascii="Times New Roman" w:eastAsia="Verdana" w:hAnsi="Times New Roman" w:cs="Times New Roman"/>
          <w:color w:val="000000"/>
          <w:sz w:val="24"/>
          <w:szCs w:val="24"/>
        </w:rPr>
      </w:pPr>
      <w:r>
        <w:rPr>
          <w:rFonts w:ascii="Times New Roman" w:eastAsia="Verdana" w:hAnsi="Times New Roman" w:cs="Times New Roman"/>
          <w:b/>
          <w:color w:val="000000"/>
          <w:sz w:val="24"/>
          <w:szCs w:val="24"/>
        </w:rPr>
        <w:tab/>
      </w:r>
      <w:r w:rsidR="00453F97" w:rsidRPr="00A91E41">
        <w:rPr>
          <w:rFonts w:ascii="Times New Roman" w:eastAsia="Verdana" w:hAnsi="Times New Roman" w:cs="Times New Roman"/>
          <w:b/>
          <w:color w:val="000000"/>
          <w:sz w:val="24"/>
          <w:szCs w:val="24"/>
        </w:rPr>
        <w:t>WHEREAS</w:t>
      </w:r>
      <w:r w:rsidR="00453F97" w:rsidRPr="00A91E41">
        <w:rPr>
          <w:rFonts w:ascii="Times New Roman" w:eastAsia="Verdana" w:hAnsi="Times New Roman" w:cs="Times New Roman"/>
          <w:color w:val="000000"/>
          <w:sz w:val="24"/>
          <w:szCs w:val="24"/>
        </w:rPr>
        <w:t>, the Board believes that public schools provide a strong educational environment for Indiana’s children and education savings accounts, if enacted, would put this environment at risk by directing resources away from those schools to nonpublic schools that are not subject to the same rigorous scrutiny for their use of taxpayer resources.</w:t>
      </w:r>
    </w:p>
    <w:p w14:paraId="0000000F" w14:textId="7B2A7988" w:rsidR="004F2166" w:rsidRPr="00A91E41" w:rsidRDefault="00BA73FF">
      <w:pPr>
        <w:widowControl w:val="0"/>
        <w:pBdr>
          <w:top w:val="nil"/>
          <w:left w:val="nil"/>
          <w:bottom w:val="nil"/>
          <w:right w:val="nil"/>
          <w:between w:val="nil"/>
        </w:pBdr>
        <w:tabs>
          <w:tab w:val="left" w:pos="731"/>
        </w:tabs>
        <w:spacing w:after="0" w:line="240" w:lineRule="auto"/>
        <w:rPr>
          <w:rFonts w:ascii="Times New Roman" w:eastAsia="Verdana" w:hAnsi="Times New Roman" w:cs="Times New Roman"/>
          <w:color w:val="000000"/>
          <w:sz w:val="24"/>
          <w:szCs w:val="24"/>
        </w:rPr>
      </w:pPr>
      <w:r>
        <w:rPr>
          <w:rFonts w:ascii="Times New Roman" w:eastAsia="Verdana" w:hAnsi="Times New Roman" w:cs="Times New Roman"/>
          <w:b/>
          <w:color w:val="000000"/>
          <w:sz w:val="24"/>
          <w:szCs w:val="24"/>
        </w:rPr>
        <w:tab/>
      </w:r>
      <w:r w:rsidR="00453F97" w:rsidRPr="00A91E41">
        <w:rPr>
          <w:rFonts w:ascii="Times New Roman" w:eastAsia="Verdana" w:hAnsi="Times New Roman" w:cs="Times New Roman"/>
          <w:b/>
          <w:color w:val="000000"/>
          <w:sz w:val="24"/>
          <w:szCs w:val="24"/>
        </w:rPr>
        <w:t>NOW, THEREFORE</w:t>
      </w:r>
      <w:r w:rsidR="00453F97" w:rsidRPr="00A91E41">
        <w:rPr>
          <w:rFonts w:ascii="Times New Roman" w:eastAsia="Verdana" w:hAnsi="Times New Roman" w:cs="Times New Roman"/>
          <w:color w:val="000000"/>
          <w:sz w:val="24"/>
          <w:szCs w:val="24"/>
        </w:rPr>
        <w:t>, be it resolved the school board of the Mt. Vernon Community School Corporation, made up of locally elected and accountable board members representing our community opposes the passage and signing of HB1005, SB 412, and SB 413 or any other bill expanding vouchers and/or creating Education Savings Account into law.</w:t>
      </w:r>
    </w:p>
    <w:p w14:paraId="00000010" w14:textId="77777777" w:rsidR="004F2166" w:rsidRDefault="004F2166">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5ED5E853" w14:textId="77777777" w:rsidR="00A91E41" w:rsidRDefault="00A91E41">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4F3E9B95" w14:textId="77777777" w:rsidR="00A91E41" w:rsidRDefault="00A91E41">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2FE37E65" w14:textId="77777777" w:rsidR="00A91E41" w:rsidRDefault="00A91E41">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4574A54F" w14:textId="77777777" w:rsidR="00A91E41" w:rsidRDefault="00A91E41">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26F69F84" w14:textId="77777777" w:rsidR="00A91E41" w:rsidRDefault="00A91E41">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00000011" w14:textId="77777777" w:rsidR="004F2166" w:rsidRDefault="004F2166">
      <w:pPr>
        <w:widowControl w:val="0"/>
        <w:pBdr>
          <w:top w:val="nil"/>
          <w:left w:val="nil"/>
          <w:bottom w:val="nil"/>
          <w:right w:val="nil"/>
          <w:between w:val="nil"/>
        </w:pBdr>
        <w:spacing w:after="0" w:line="240" w:lineRule="auto"/>
        <w:rPr>
          <w:rFonts w:ascii="Verdana" w:eastAsia="Verdana" w:hAnsi="Verdana" w:cs="Verdana"/>
          <w:color w:val="000000"/>
          <w:sz w:val="24"/>
          <w:szCs w:val="24"/>
        </w:rPr>
      </w:pPr>
    </w:p>
    <w:p w14:paraId="00000012" w14:textId="4972AF6C" w:rsidR="004F2166" w:rsidRDefault="00EF74EC">
      <w:pPr>
        <w:widowControl w:val="0"/>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Approved this </w:t>
      </w:r>
      <w:r w:rsidRPr="00EF74EC">
        <w:rPr>
          <w:rFonts w:ascii="Verdana" w:eastAsia="Verdana" w:hAnsi="Verdana" w:cs="Verdana"/>
          <w:color w:val="000000"/>
          <w:sz w:val="24"/>
          <w:szCs w:val="24"/>
          <w:u w:val="single"/>
        </w:rPr>
        <w:t>22nd</w:t>
      </w:r>
      <w:r>
        <w:rPr>
          <w:rFonts w:ascii="Verdana" w:eastAsia="Verdana" w:hAnsi="Verdana" w:cs="Verdana"/>
          <w:color w:val="000000"/>
          <w:sz w:val="24"/>
          <w:szCs w:val="24"/>
        </w:rPr>
        <w:t xml:space="preserve"> day of </w:t>
      </w:r>
      <w:r w:rsidRPr="00EF74EC">
        <w:rPr>
          <w:rFonts w:ascii="Verdana" w:eastAsia="Verdana" w:hAnsi="Verdana" w:cs="Verdana"/>
          <w:color w:val="000000"/>
          <w:sz w:val="24"/>
          <w:szCs w:val="24"/>
          <w:u w:val="single"/>
        </w:rPr>
        <w:t>February</w:t>
      </w:r>
      <w:r w:rsidR="00453F97" w:rsidRPr="00EF74EC">
        <w:rPr>
          <w:rFonts w:ascii="Verdana" w:eastAsia="Verdana" w:hAnsi="Verdana" w:cs="Verdana"/>
          <w:color w:val="000000"/>
          <w:sz w:val="24"/>
          <w:szCs w:val="24"/>
          <w:u w:val="single"/>
        </w:rPr>
        <w:t>, 2021</w:t>
      </w:r>
      <w:r w:rsidR="00453F97">
        <w:rPr>
          <w:rFonts w:ascii="Verdana" w:eastAsia="Verdana" w:hAnsi="Verdana" w:cs="Verdana"/>
          <w:color w:val="000000"/>
          <w:sz w:val="24"/>
          <w:szCs w:val="24"/>
        </w:rPr>
        <w:t>.</w:t>
      </w:r>
    </w:p>
    <w:p w14:paraId="00000013" w14:textId="77777777" w:rsidR="004F2166" w:rsidRDefault="004F2166">
      <w:pPr>
        <w:rPr>
          <w:rFonts w:ascii="Verdana" w:eastAsia="Verdana" w:hAnsi="Verdana" w:cs="Verdana"/>
          <w:sz w:val="24"/>
          <w:szCs w:val="24"/>
        </w:rPr>
      </w:pPr>
    </w:p>
    <w:p w14:paraId="00000014" w14:textId="7C58E978" w:rsidR="004F2166"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             AYE</w:t>
      </w:r>
      <w:r>
        <w:rPr>
          <w:rFonts w:ascii="Verdana" w:eastAsia="Verdana" w:hAnsi="Verdana" w:cs="Verdana"/>
          <w:color w:val="000000"/>
          <w:sz w:val="24"/>
          <w:szCs w:val="24"/>
        </w:rPr>
        <w:tab/>
      </w:r>
      <w:r>
        <w:rPr>
          <w:rFonts w:ascii="Verdana" w:eastAsia="Verdana" w:hAnsi="Verdana" w:cs="Verdana"/>
          <w:color w:val="000000"/>
          <w:sz w:val="24"/>
          <w:szCs w:val="24"/>
        </w:rPr>
        <w:tab/>
        <w:t xml:space="preserve">            NAY</w:t>
      </w:r>
    </w:p>
    <w:p w14:paraId="00000015" w14:textId="77777777" w:rsidR="004F2166" w:rsidRDefault="00453F97">
      <w:pPr>
        <w:widowControl w:val="0"/>
        <w:pBdr>
          <w:top w:val="nil"/>
          <w:left w:val="nil"/>
          <w:bottom w:val="nil"/>
          <w:right w:val="nil"/>
          <w:between w:val="nil"/>
        </w:pBdr>
        <w:tabs>
          <w:tab w:val="left" w:pos="4988"/>
        </w:tabs>
        <w:spacing w:after="0" w:line="240" w:lineRule="auto"/>
        <w:ind w:left="4988" w:hanging="4898"/>
        <w:rPr>
          <w:rFonts w:ascii="Verdana" w:eastAsia="Verdana" w:hAnsi="Verdana" w:cs="Verdana"/>
          <w:color w:val="000000"/>
          <w:sz w:val="24"/>
          <w:szCs w:val="24"/>
        </w:rPr>
      </w:pPr>
      <w:r>
        <w:rPr>
          <w:rFonts w:ascii="Verdana" w:eastAsia="Verdana" w:hAnsi="Verdana" w:cs="Verdana"/>
          <w:color w:val="000000"/>
          <w:sz w:val="24"/>
          <w:szCs w:val="24"/>
        </w:rPr>
        <w:tab/>
      </w:r>
    </w:p>
    <w:p w14:paraId="7A019AE0"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00000016" w14:textId="73327824" w:rsidR="004F2166"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r>
        <w:rPr>
          <w:rFonts w:ascii="Verdana" w:eastAsia="Verdana" w:hAnsi="Verdana" w:cs="Verdana"/>
          <w:color w:val="000000"/>
          <w:sz w:val="24"/>
          <w:szCs w:val="24"/>
        </w:rPr>
        <w:tab/>
        <w:t>_____________________</w:t>
      </w:r>
    </w:p>
    <w:p w14:paraId="69F91DA0"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34187C8C" w14:textId="777589C0"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r>
        <w:rPr>
          <w:rFonts w:ascii="Verdana" w:eastAsia="Verdana" w:hAnsi="Verdana" w:cs="Verdana"/>
          <w:color w:val="000000"/>
          <w:sz w:val="24"/>
          <w:szCs w:val="24"/>
        </w:rPr>
        <w:tab/>
        <w:t>_____________________</w:t>
      </w:r>
    </w:p>
    <w:p w14:paraId="2A9F6E00"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414BBBC2" w14:textId="45594C75"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r>
        <w:rPr>
          <w:rFonts w:ascii="Verdana" w:eastAsia="Verdana" w:hAnsi="Verdana" w:cs="Verdana"/>
          <w:color w:val="000000"/>
          <w:sz w:val="24"/>
          <w:szCs w:val="24"/>
        </w:rPr>
        <w:tab/>
        <w:t>_____________________</w:t>
      </w:r>
    </w:p>
    <w:p w14:paraId="0DD70756"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0D413820" w14:textId="3F9450D2"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r>
        <w:rPr>
          <w:rFonts w:ascii="Verdana" w:eastAsia="Verdana" w:hAnsi="Verdana" w:cs="Verdana"/>
          <w:color w:val="000000"/>
          <w:sz w:val="24"/>
          <w:szCs w:val="24"/>
        </w:rPr>
        <w:tab/>
        <w:t>_____________________</w:t>
      </w:r>
    </w:p>
    <w:p w14:paraId="37ED693F"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29EB7160" w14:textId="2DEC9EB2"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r>
        <w:rPr>
          <w:rFonts w:ascii="Verdana" w:eastAsia="Verdana" w:hAnsi="Verdana" w:cs="Verdana"/>
          <w:color w:val="000000"/>
          <w:sz w:val="24"/>
          <w:szCs w:val="24"/>
        </w:rPr>
        <w:tab/>
        <w:t>_____________________</w:t>
      </w:r>
    </w:p>
    <w:p w14:paraId="6990DDAA"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7594BC24"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660294CE" w14:textId="670997D2"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ATTEST:</w:t>
      </w:r>
    </w:p>
    <w:p w14:paraId="76124ED8"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3767A277" w14:textId="77777777"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p>
    <w:p w14:paraId="1DD07B96" w14:textId="48AE01B0"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___________________</w:t>
      </w:r>
    </w:p>
    <w:p w14:paraId="56839474" w14:textId="55CB7501" w:rsidR="00453F97" w:rsidRDefault="00453F97">
      <w:pPr>
        <w:widowControl w:val="0"/>
        <w:pBdr>
          <w:top w:val="nil"/>
          <w:left w:val="nil"/>
          <w:bottom w:val="nil"/>
          <w:right w:val="nil"/>
          <w:between w:val="nil"/>
        </w:pBdr>
        <w:tabs>
          <w:tab w:val="left" w:pos="4988"/>
        </w:tabs>
        <w:spacing w:after="0" w:line="240" w:lineRule="auto"/>
        <w:ind w:left="4988" w:hanging="4988"/>
        <w:rPr>
          <w:rFonts w:ascii="Verdana" w:eastAsia="Verdana" w:hAnsi="Verdana" w:cs="Verdana"/>
          <w:color w:val="000000"/>
          <w:sz w:val="24"/>
          <w:szCs w:val="24"/>
        </w:rPr>
      </w:pPr>
      <w:r>
        <w:rPr>
          <w:rFonts w:ascii="Verdana" w:eastAsia="Verdana" w:hAnsi="Verdana" w:cs="Verdana"/>
          <w:color w:val="000000"/>
          <w:sz w:val="24"/>
          <w:szCs w:val="24"/>
        </w:rPr>
        <w:t>Secretary</w:t>
      </w:r>
    </w:p>
    <w:sectPr w:rsidR="00453F97">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DDB5" w14:textId="77777777" w:rsidR="00D32DFC" w:rsidRDefault="00D32DFC">
      <w:pPr>
        <w:spacing w:after="0" w:line="240" w:lineRule="auto"/>
      </w:pPr>
      <w:r>
        <w:separator/>
      </w:r>
    </w:p>
  </w:endnote>
  <w:endnote w:type="continuationSeparator" w:id="0">
    <w:p w14:paraId="0D7ED862" w14:textId="77777777" w:rsidR="00D32DFC" w:rsidRDefault="00D3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883A" w14:textId="77777777" w:rsidR="00D32DFC" w:rsidRDefault="00D32DFC">
      <w:pPr>
        <w:spacing w:after="0" w:line="240" w:lineRule="auto"/>
      </w:pPr>
      <w:r>
        <w:separator/>
      </w:r>
    </w:p>
  </w:footnote>
  <w:footnote w:type="continuationSeparator" w:id="0">
    <w:p w14:paraId="5A137EF2" w14:textId="77777777" w:rsidR="00D32DFC" w:rsidRDefault="00D3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4F2166" w:rsidRDefault="00453F97">
    <w:pPr>
      <w:pBdr>
        <w:top w:val="nil"/>
        <w:left w:val="nil"/>
        <w:bottom w:val="nil"/>
        <w:right w:val="nil"/>
        <w:between w:val="nil"/>
      </w:pBdr>
      <w:tabs>
        <w:tab w:val="center" w:pos="4680"/>
        <w:tab w:val="right" w:pos="9360"/>
      </w:tabs>
      <w:spacing w:after="0" w:line="240" w:lineRule="auto"/>
      <w:rPr>
        <w:color w:val="000000"/>
      </w:rPr>
    </w:pPr>
    <w:r>
      <w:rPr>
        <w:color w:val="000000"/>
      </w:rPr>
      <w:t>ISBA Policy Services</w:t>
    </w:r>
  </w:p>
  <w:p w14:paraId="00000018" w14:textId="77777777" w:rsidR="004F2166" w:rsidRDefault="004F21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453"/>
    <w:multiLevelType w:val="multilevel"/>
    <w:tmpl w:val="0E263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5F76"/>
    <w:multiLevelType w:val="multilevel"/>
    <w:tmpl w:val="F064A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66"/>
    <w:rsid w:val="0020275C"/>
    <w:rsid w:val="004078A2"/>
    <w:rsid w:val="00453F97"/>
    <w:rsid w:val="004F2166"/>
    <w:rsid w:val="004F2B15"/>
    <w:rsid w:val="005B1D5F"/>
    <w:rsid w:val="00A91E41"/>
    <w:rsid w:val="00BA73FF"/>
    <w:rsid w:val="00D32DFC"/>
    <w:rsid w:val="00E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3DB7"/>
  <w15:docId w15:val="{DECEC6A7-4CDD-4C66-A05C-A27585A5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A75CE"/>
    <w:pPr>
      <w:ind w:left="720"/>
      <w:contextualSpacing/>
    </w:pPr>
  </w:style>
  <w:style w:type="paragraph" w:customStyle="1" w:styleId="c1">
    <w:name w:val="c1"/>
    <w:basedOn w:val="Normal"/>
    <w:rsid w:val="002536BB"/>
    <w:pPr>
      <w:widowControl w:val="0"/>
      <w:autoSpaceDE w:val="0"/>
      <w:autoSpaceDN w:val="0"/>
      <w:adjustRightInd w:val="0"/>
      <w:spacing w:after="0" w:line="240" w:lineRule="auto"/>
      <w:jc w:val="center"/>
    </w:pPr>
    <w:rPr>
      <w:rFonts w:ascii="Times New Roman" w:eastAsia="Times New Roman" w:hAnsi="Times New Roman" w:cs="Times New Roman"/>
      <w:sz w:val="20"/>
      <w:szCs w:val="24"/>
    </w:rPr>
  </w:style>
  <w:style w:type="paragraph" w:customStyle="1" w:styleId="p2">
    <w:name w:val="p2"/>
    <w:basedOn w:val="Normal"/>
    <w:rsid w:val="002536BB"/>
    <w:pPr>
      <w:widowControl w:val="0"/>
      <w:tabs>
        <w:tab w:val="left" w:pos="731"/>
      </w:tabs>
      <w:autoSpaceDE w:val="0"/>
      <w:autoSpaceDN w:val="0"/>
      <w:adjustRightInd w:val="0"/>
      <w:spacing w:after="0" w:line="240" w:lineRule="auto"/>
      <w:ind w:firstLine="731"/>
    </w:pPr>
    <w:rPr>
      <w:rFonts w:ascii="Times New Roman" w:eastAsia="Times New Roman" w:hAnsi="Times New Roman" w:cs="Times New Roman"/>
      <w:sz w:val="20"/>
      <w:szCs w:val="24"/>
    </w:rPr>
  </w:style>
  <w:style w:type="paragraph" w:customStyle="1" w:styleId="p3">
    <w:name w:val="p3"/>
    <w:basedOn w:val="Normal"/>
    <w:rsid w:val="002536BB"/>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t4">
    <w:name w:val="t4"/>
    <w:basedOn w:val="Normal"/>
    <w:rsid w:val="002536B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p5">
    <w:name w:val="p5"/>
    <w:basedOn w:val="Normal"/>
    <w:rsid w:val="002536BB"/>
    <w:pPr>
      <w:widowControl w:val="0"/>
      <w:tabs>
        <w:tab w:val="left" w:pos="4988"/>
      </w:tabs>
      <w:autoSpaceDE w:val="0"/>
      <w:autoSpaceDN w:val="0"/>
      <w:adjustRightInd w:val="0"/>
      <w:spacing w:after="0" w:line="240" w:lineRule="auto"/>
      <w:ind w:left="3548"/>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0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7B"/>
  </w:style>
  <w:style w:type="paragraph" w:styleId="Footer">
    <w:name w:val="footer"/>
    <w:basedOn w:val="Normal"/>
    <w:link w:val="FooterChar"/>
    <w:uiPriority w:val="99"/>
    <w:unhideWhenUsed/>
    <w:rsid w:val="0030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7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V7qlJQPiVf1G495rw2ahQp0MA==">AMUW2mXlbQ8EpOHUQHZFxW//KPO8t6Ce53Ip2anoNOaTzVSuHRytBiK4b1rN7I1XYcFP/FDtaSxceXPa9INqcaN4NNYzqp3mFW4OJ0rqZOpMY7OFbZrUjrs=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MVCSC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Jeneary</dc:creator>
  <cp:lastModifiedBy>Jack Parker</cp:lastModifiedBy>
  <cp:revision>2</cp:revision>
  <cp:lastPrinted>2021-02-17T15:34:00Z</cp:lastPrinted>
  <dcterms:created xsi:type="dcterms:W3CDTF">2021-02-22T11:00:00Z</dcterms:created>
  <dcterms:modified xsi:type="dcterms:W3CDTF">2021-02-22T11:00:00Z</dcterms:modified>
</cp:coreProperties>
</file>