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THE EDUCATIONAL FUND TO THE OPERATIONAL FUND 2022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2021-26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2022</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the governing body of each school corporation to establish an Education Fund for the payment of expenses allocated to student instruction and learning under IC 20-42.5, and</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the governing body of each school corporation to establish an Operations Fund for the payment of expenses that are not allocated to student instruction and learning under IC 20-42.5, and</w:t>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that distributions of Tuition Support be received in the education fund.</w:t>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up to  the amount of $300,000 from the Education Fund to the Operations Fund to reimburse the Operations Fund for expenses that are not allocated to student instruction and learning under IC 20-42.5. This transfer shall be made each month no earlier than the date of receipt of Tuition Support from the Indiana Department of Education and no later than the final day of the month such tuition support is received. </w:t>
      </w:r>
      <w:r w:rsidDel="00000000" w:rsidR="00000000" w:rsidRPr="00000000">
        <w:rPr>
          <w:rFonts w:ascii="Times New Roman" w:cs="Times New Roman" w:eastAsia="Times New Roman" w:hAnsi="Times New Roman"/>
          <w:sz w:val="24"/>
          <w:szCs w:val="24"/>
          <w:rtl w:val="0"/>
        </w:rPr>
        <w:t xml:space="preserve">This resolution may be amended as needed throughout the year.</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20th day of September, 2021.</w:t>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Shannon Walls, Secretary</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xLZmnjuCF9VHf2TQqdwN7jgPA==">AMUW2mVnfRtsfor3wrfJSh13K7nqZG53IuoNuLGhOZhULGRBXHtT8X46oMseyqDPh/8wQlWqC11IAu3u/mEC8S/P4q8Gv98lKja5HjbVWwQDVFooHX0xZPU=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