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AUTHORIZING  PENSION BOND TAX NEUTRALITY</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2021-30</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recognizing that bonds had been previously issued to fund then existing retirement and severance liabilities, and that such bonds remain an obligation of the school corporation until retired; and</w:t>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required the adoption of a percentage reduction in the annual property tax rates in certain funds in order to offset the increase in the debt service rate required to finance such bonds; and </w:t>
      </w:r>
    </w:p>
    <w:p w:rsidR="00000000" w:rsidDel="00000000" w:rsidP="00000000" w:rsidRDefault="00000000" w:rsidRPr="00000000" w14:paraId="0000000C">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State of Indiana required the School Corporation to reduce the levy for one or more funds in  2022 by an equal amount to the levy for debt service on its Taxable General Obligation Pension Bonds.</w:t>
      </w:r>
    </w:p>
    <w:p w:rsidR="00000000" w:rsidDel="00000000" w:rsidP="00000000" w:rsidRDefault="00000000" w:rsidRPr="00000000" w14:paraId="0000000E">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Mt. Vernon Community School Corporation maximum levy for its Operations Fund for year 2022 will be reduced by the amount of the levy for its Retirement/Severance Bond Debt Service allocable to the Taxable General Obligation Pension Bonds.</w:t>
      </w:r>
    </w:p>
    <w:p w:rsidR="00000000" w:rsidDel="00000000" w:rsidP="00000000" w:rsidRDefault="00000000" w:rsidRPr="00000000" w14:paraId="00000010">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enacted P.L. 145-2012, providing for a phased percentage reduction the required annual property tax rate offset in certain other funds;</w:t>
      </w:r>
    </w:p>
    <w:p w:rsidR="00000000" w:rsidDel="00000000" w:rsidP="00000000" w:rsidRDefault="00000000" w:rsidRPr="00000000" w14:paraId="00000012">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Board of School Trustees resolved to adopt the following adjustment percentage authorized by IC 20-48-1-2(f)</w:t>
      </w:r>
    </w:p>
    <w:p w:rsidR="00000000" w:rsidDel="00000000" w:rsidP="00000000" w:rsidRDefault="00000000" w:rsidRPr="00000000" w14:paraId="00000014">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property taxes first due and payable after 2018, one hundred percent (100%)</w:t>
      </w:r>
    </w:p>
    <w:p w:rsidR="00000000" w:rsidDel="00000000" w:rsidP="00000000" w:rsidRDefault="00000000" w:rsidRPr="00000000" w14:paraId="0000001C">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20th day of September, 2021.</w:t>
      </w:r>
    </w:p>
    <w:p w:rsidR="00000000" w:rsidDel="00000000" w:rsidP="00000000" w:rsidRDefault="00000000" w:rsidRPr="00000000" w14:paraId="0000001E">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Shannon Walls, Secretary</w:t>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