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2022-05 (EXHIBIT C)</w:t>
      </w:r>
    </w:p>
    <w:p w:rsidR="00000000" w:rsidDel="00000000" w:rsidP="00000000" w:rsidRDefault="00000000" w:rsidRPr="00000000" w14:paraId="00000002">
      <w:pPr>
        <w:keepNext w:val="1"/>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RESOLUTION ASSIGNING CONSTRUCTION </w:t>
      </w:r>
    </w:p>
    <w:p w:rsidR="00000000" w:rsidDel="00000000" w:rsidP="00000000" w:rsidRDefault="00000000" w:rsidRPr="00000000" w14:paraId="00000003">
      <w:pPr>
        <w:keepNext w:val="1"/>
        <w:spacing w:after="24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CONTRACTS</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Mt. Vernon Community School Corporation (the "School Corporation") has entered into one or more contracts for the Mt. Vernon Community School Corporation Future Growth Plan Project, which includes the acquisition of real estate and the construction of a new elementary school, renovation and construction of an addition to Fortville Elementary School, construction of a new transportation center, renovation and improvements to Mt. Comfort Elementary School, and site improvements for campus traffic flow (the "Project"); and</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School Corporation intends to sell certain real estate on which the Project will be reno constructed, renovated and improved (the "Real Estate") to the Mt. Vernon of Hancock County Multi-School Building Corporation (the "Building Corporation") which Building Corporation will complete the Project; and</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School Corporation intends to establish a construction fund and appropriate the funds it receives from the Building Corporation for the sale of the Real Estate; now, therefore,</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the construction contracts relating to the Project are hereby assigned to the Building Corporation, at the discretion of the Board.</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Board of School Trustees (the "Board") of the School Corporation held a public hearing to discuss the appropriation of the funds received from the sale of the Real Estate on January 10, 2022.</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Board ratifies and confirms the Board Secretary’s publication of a notice of the hearing on the appropriation.</w:t>
      </w:r>
    </w:p>
    <w:p w:rsidR="00000000" w:rsidDel="00000000" w:rsidP="00000000" w:rsidRDefault="00000000" w:rsidRPr="00000000" w14:paraId="0000000A">
      <w:pPr>
        <w:keepNext w:val="1"/>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10th day of January, 2022.</w:t>
      </w:r>
    </w:p>
    <w:p w:rsidR="00000000" w:rsidDel="00000000" w:rsidP="00000000" w:rsidRDefault="00000000" w:rsidRPr="00000000" w14:paraId="0000000B">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D">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E">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0">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