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2022-06 (EXHIBIT D)</w:t>
      </w:r>
    </w:p>
    <w:p w:rsidR="00000000" w:rsidDel="00000000" w:rsidP="00000000" w:rsidRDefault="00000000" w:rsidRPr="00000000" w14:paraId="00000002">
      <w:pPr>
        <w:keepNext w:val="1"/>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APPROVING SEVENTH SUPPLEMENT TO MASTER CONTINUING DISCLOSURE UNDERTAKING AND ISSUANCE OF BONDS</w:t>
      </w:r>
    </w:p>
    <w:p w:rsidR="00000000" w:rsidDel="00000000" w:rsidP="00000000" w:rsidRDefault="00000000" w:rsidRPr="00000000" w14:paraId="00000003">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WHEREAS, a Seventh Supplement to Master Continuing Disclosure Undertaking (the "Undertaking") has been presented to the Board of School Trustees (the "Board") of Mt. Vernon Community School Corporation (the "School Corporation") in connection with the issuance of one or more series of Mt. Vernon of Hancock County Multi-School Building Corporation Ad Valorem Property Tax First Mortgage Bonds in the aggregate amount not to exceed $84,250,000 (the "Bonds"); and</w:t>
      </w:r>
      <w:r w:rsidDel="00000000" w:rsidR="00000000" w:rsidRPr="00000000">
        <w:rPr>
          <w:rtl w:val="0"/>
        </w:rPr>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must approve the form of Undertaking and the issuance of the Bonds; now, therefore,</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Board hereby approves the issuance of the Bonds and the form of Undertaking, and hereby authorizes any officers of the Board to execute such Undertaking.</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any officers of the Board are hereby authorized and directed to execute any and all documents and certificates required in order to issue and deliver the Bonds.</w:t>
      </w:r>
    </w:p>
    <w:p w:rsidR="00000000" w:rsidDel="00000000" w:rsidP="00000000" w:rsidRDefault="00000000" w:rsidRPr="00000000" w14:paraId="00000008">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10th day of January, 2022.</w:t>
      </w:r>
    </w:p>
    <w:p w:rsidR="00000000" w:rsidDel="00000000" w:rsidP="00000000" w:rsidRDefault="00000000" w:rsidRPr="00000000" w14:paraId="00000009">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1">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