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APPROVE FUND-TO-FUND TRANSFERS FOR FISCAL YEAR 2021 </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2022-08</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pageBreakBefore w:val="0"/>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School Trustees is the governing body of </w:t>
      </w:r>
      <w:r w:rsidDel="00000000" w:rsidR="00000000" w:rsidRPr="00000000">
        <w:rPr>
          <w:rFonts w:ascii="Times New Roman" w:cs="Times New Roman" w:eastAsia="Times New Roman" w:hAnsi="Times New Roman"/>
          <w:sz w:val="24"/>
          <w:szCs w:val="24"/>
          <w:rtl w:val="0"/>
        </w:rPr>
        <w:t xml:space="preserve">Mt. Vernon Community School Corporation, Hancock County, Indiana;</w:t>
      </w:r>
      <w:r w:rsidDel="00000000" w:rsidR="00000000" w:rsidRPr="00000000">
        <w:rPr>
          <w:rtl w:val="0"/>
        </w:rPr>
      </w:r>
    </w:p>
    <w:p w:rsidR="00000000" w:rsidDel="00000000" w:rsidP="00000000" w:rsidRDefault="00000000" w:rsidRPr="00000000" w14:paraId="00000009">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A">
      <w:pPr>
        <w:pageBreakBefore w:val="0"/>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t</w:t>
      </w:r>
      <w:r w:rsidDel="00000000" w:rsidR="00000000" w:rsidRPr="00000000">
        <w:rPr>
          <w:rFonts w:ascii="Times New Roman" w:cs="Times New Roman" w:eastAsia="Times New Roman" w:hAnsi="Times New Roman"/>
          <w:rtl w:val="0"/>
        </w:rPr>
        <w:t xml:space="preserve">he Chief Financial Officer and Treasurer are required to close out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funds with no fiscal activity for at least two years, consolidate like funds, make whole any negative balances by the end of the fiscal year, and declare other fund to fund transfers for cash flow purposes; </w:t>
      </w:r>
    </w:p>
    <w:p w:rsidR="00000000" w:rsidDel="00000000" w:rsidP="00000000" w:rsidRDefault="00000000" w:rsidRPr="00000000" w14:paraId="0000000B">
      <w:pPr>
        <w:pageBreakBefore w:val="0"/>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THEREFORE BE IT RESOLVED</w:t>
      </w:r>
      <w:r w:rsidDel="00000000" w:rsidR="00000000" w:rsidRPr="00000000">
        <w:rPr>
          <w:rFonts w:ascii="Times New Roman" w:cs="Times New Roman" w:eastAsia="Times New Roman" w:hAnsi="Times New Roman"/>
          <w:rtl w:val="0"/>
        </w:rPr>
        <w:t xml:space="preserve">, that the Board of School Trustees authorizes the Treasurer and Chief Financial Officer of the </w:t>
      </w:r>
      <w:r w:rsidDel="00000000" w:rsidR="00000000" w:rsidRPr="00000000">
        <w:rPr>
          <w:rFonts w:ascii="Times New Roman" w:cs="Times New Roman" w:eastAsia="Times New Roman" w:hAnsi="Times New Roman"/>
          <w:sz w:val="24"/>
          <w:szCs w:val="24"/>
          <w:rtl w:val="0"/>
        </w:rPr>
        <w:t xml:space="preserve">Mt. Vernon Community School Corporation</w:t>
      </w:r>
      <w:r w:rsidDel="00000000" w:rsidR="00000000" w:rsidRPr="00000000">
        <w:rPr>
          <w:rFonts w:ascii="Times New Roman" w:cs="Times New Roman" w:eastAsia="Times New Roman" w:hAnsi="Times New Roman"/>
          <w:rtl w:val="0"/>
        </w:rPr>
        <w:t xml:space="preserve"> to complete the following fund-to fund transfers:</w:t>
      </w:r>
    </w:p>
    <w:p w:rsidR="00000000" w:rsidDel="00000000" w:rsidP="00000000" w:rsidRDefault="00000000" w:rsidRPr="00000000" w14:paraId="0000000C">
      <w:pPr>
        <w:pageBreakBefore w:val="0"/>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Times New Roman" w:cs="Times New Roman" w:eastAsia="Times New Roman" w:hAnsi="Times New Roman"/>
        </w:rPr>
      </w:pPr>
      <w:r w:rsidDel="00000000" w:rsidR="00000000" w:rsidRPr="00000000">
        <w:rPr>
          <w:rtl w:val="0"/>
        </w:rPr>
      </w:r>
    </w:p>
    <w:tbl>
      <w:tblPr>
        <w:tblStyle w:val="Table1"/>
        <w:tblW w:w="9356.125827814569"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7.9470198675494"/>
        <w:gridCol w:w="2115"/>
        <w:gridCol w:w="1410"/>
        <w:gridCol w:w="180"/>
        <w:gridCol w:w="3843.17880794702"/>
        <w:tblGridChange w:id="0">
          <w:tblGrid>
            <w:gridCol w:w="1807.9470198675494"/>
            <w:gridCol w:w="2115"/>
            <w:gridCol w:w="1410"/>
            <w:gridCol w:w="180"/>
            <w:gridCol w:w="3843.17880794702"/>
          </w:tblGrid>
        </w:tblGridChange>
      </w:tblGrid>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Sending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Receiving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jc w:val="center"/>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Reason</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Education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Pension Fund 0630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widowControl w:val="0"/>
              <w:jc w:val="right"/>
              <w:rPr>
                <w:rFonts w:ascii="Calibri" w:cs="Calibri" w:eastAsia="Calibri" w:hAnsi="Calibri"/>
                <w:sz w:val="18"/>
                <w:szCs w:val="18"/>
              </w:rPr>
            </w:pPr>
            <w:r w:rsidDel="00000000" w:rsidR="00000000" w:rsidRPr="00000000">
              <w:rPr>
                <w:rFonts w:ascii="Calibri" w:cs="Calibri" w:eastAsia="Calibri" w:hAnsi="Calibri"/>
                <w:sz w:val="18"/>
                <w:szCs w:val="18"/>
                <w:highlight w:val="white"/>
                <w:rtl w:val="0"/>
              </w:rPr>
              <w:t xml:space="preserve">$1,592.30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Annual Retirees’ Pension Payments</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Insurance Reserve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Self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$436,585.60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End Insurance Deficit Payoff</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 Education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Self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$1,021,335.11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End Insurance Deficit Payoff</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 Repair and Replacement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6830 School Technology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-$45,866.06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Correction for SBA Chart of Accounts</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3720 Connectivity Grant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3780 Connectivity Grant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-$865.37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Correction for SBA Chart of Accounts</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1850 Educational License PLate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0101 Education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$1,912.50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Reimbursement for expenses</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1900 Alternative Education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0101 Education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$20,069.73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Reimbursement for expenses</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2001 Special Olympics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0300 Operations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$428.66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Close out inactive fund</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3750 TAG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0101 Education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$3,827.17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Reimbursement for expenses</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5206, 5250, 5251, 5252 Part B 611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0101 Education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$216,873.50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Reimbursement for expenses</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5207, 5255, 5256, 5257 Part B 619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0101 Education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$18,672.46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Reimbursement for expenses</w:t>
            </w:r>
          </w:p>
        </w:tc>
      </w:tr>
      <w:tr>
        <w:trPr>
          <w:cantSplit w:val="0"/>
          <w:trHeight w:val="33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700 Construction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300 Operations Fund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$89,728.51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Reimbursement for expenses</w:t>
            </w:r>
          </w:p>
        </w:tc>
      </w:tr>
    </w:tbl>
    <w:p w:rsidR="00000000" w:rsidDel="00000000" w:rsidP="00000000" w:rsidRDefault="00000000" w:rsidRPr="00000000" w14:paraId="00000053">
      <w:pPr>
        <w:pageBreakBefore w:val="0"/>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24th day of January, 2022.</w:t>
      </w:r>
    </w:p>
    <w:p w:rsidR="00000000" w:rsidDel="00000000" w:rsidP="00000000" w:rsidRDefault="00000000" w:rsidRPr="00000000" w14:paraId="00000055">
      <w:pPr>
        <w:pageBreakBefore w:val="0"/>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5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57">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5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5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5A">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5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5C">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5E">
      <w:pPr>
        <w:pageBreakBefore w:val="0"/>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5gEZFWtT4De/mMCM0eUjOg9ydg==">AMUW2mXqinesGqXc8o8Rvs6JB1H00jcaRdFr++DH7zbMyRAytIx5wCF/OoT6dx9Tr1llBBc3DHFzdxCz92ZSrwYJJhwf88mLxGkCnRVgErXvE3WUknbn4Vk=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