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OPERATIONS FUND TO THE RAINY DAY FUND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2022-09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2022</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MVCSC has established an Rainy Day Fund;</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tab/>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a total amount equal to the Waiver to Protected Tax Caps (as determined by DLGF) to the Rainy Day Fund. These two transfers will take place prior to June 30th and December 31st of the 2022 budget year. </w:t>
      </w:r>
      <w:r w:rsidDel="00000000" w:rsidR="00000000" w:rsidRPr="00000000">
        <w:rPr>
          <w:rtl w:val="0"/>
        </w:rPr>
      </w:r>
    </w:p>
    <w:p w:rsidR="00000000" w:rsidDel="00000000" w:rsidP="00000000" w:rsidRDefault="00000000" w:rsidRPr="00000000" w14:paraId="0000000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24th day of January, 2021.</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1D">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BH6d07szRaQjfhudo7CTF+JElg==">AMUW2mVjX9uUHDZ+3HvazNES63+Jz09//a84StkCz5x6b4e6RTkIyVUQve9kSU9axxDM5rb08tHMWzj2HCaRpdp++Zv9TZ07MCgWFVvYZrL1yfigqHL3f/Q=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