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MT. VERNON COMMUNITY SCHOOL CORPORATION</w:t>
      </w:r>
    </w:p>
    <w:p w:rsidR="00000000" w:rsidDel="00000000" w:rsidP="00000000" w:rsidRDefault="00000000" w:rsidRPr="00000000" w14:paraId="0000000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3">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RESOLUTION AUTHORIZING YEAR-END INTRA-FUND TRANSFERS </w:t>
      </w:r>
    </w:p>
    <w:p w:rsidR="00000000" w:rsidDel="00000000" w:rsidP="00000000" w:rsidRDefault="00000000" w:rsidRPr="00000000" w14:paraId="00000004">
      <w:pPr>
        <w:pageBreakBefore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NO. 2022-12</w:t>
      </w:r>
    </w:p>
    <w:p w:rsidR="00000000" w:rsidDel="00000000" w:rsidP="00000000" w:rsidRDefault="00000000" w:rsidRPr="00000000" w14:paraId="00000005">
      <w:pPr>
        <w:pageBreakBefore w:val="0"/>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pageBreakBefore w:val="0"/>
        <w:spacing w:after="160" w:line="259"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Pursuant to I.C. 1-1-18-6, it is necessary to make intra-fund transfers and authorize      </w:t>
      </w:r>
    </w:p>
    <w:p w:rsidR="00000000" w:rsidDel="00000000" w:rsidP="00000000" w:rsidRDefault="00000000" w:rsidRPr="00000000" w14:paraId="00000007">
      <w:pPr>
        <w:pageBreakBefore w:val="0"/>
        <w:spacing w:after="160" w:line="259" w:lineRule="auto"/>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proper officers to make such transfers; and</w:t>
      </w:r>
    </w:p>
    <w:p w:rsidR="00000000" w:rsidDel="00000000" w:rsidP="00000000" w:rsidRDefault="00000000" w:rsidRPr="00000000" w14:paraId="00000008">
      <w:pPr>
        <w:pageBreakBefore w:val="0"/>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the Mt. Vernon Community School Corporation is a legally constituted school </w:t>
      </w:r>
    </w:p>
    <w:p w:rsidR="00000000" w:rsidDel="00000000" w:rsidP="00000000" w:rsidRDefault="00000000" w:rsidRPr="00000000" w14:paraId="00000009">
      <w:pPr>
        <w:pageBreakBefore w:val="0"/>
        <w:spacing w:after="160" w:line="259"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district in the State of Indiana, County of Hancock, and has jurisdiction of the schools in all the territory of said County; and</w:t>
      </w:r>
    </w:p>
    <w:p w:rsidR="00000000" w:rsidDel="00000000" w:rsidP="00000000" w:rsidRDefault="00000000" w:rsidRPr="00000000" w14:paraId="0000000A">
      <w:pPr>
        <w:pageBreakBefore w:val="0"/>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 certain fund accounts of the functional ledger show a deficit and must be in proper balance </w:t>
      </w:r>
    </w:p>
    <w:p w:rsidR="00000000" w:rsidDel="00000000" w:rsidP="00000000" w:rsidRDefault="00000000" w:rsidRPr="00000000" w14:paraId="0000000B">
      <w:pPr>
        <w:pageBreakBefore w:val="0"/>
        <w:spacing w:after="160" w:line="259"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close of the calendar year, 2021; and</w:t>
      </w:r>
    </w:p>
    <w:p w:rsidR="00000000" w:rsidDel="00000000" w:rsidP="00000000" w:rsidRDefault="00000000" w:rsidRPr="00000000" w14:paraId="0000000C">
      <w:pPr>
        <w:pageBreakBefore w:val="0"/>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certain fund accounts of the functional ledger are in excess and may be transferred as needed in the budgeted appropriations of the 2021 budget and the Board of School Trustees may transfer funds from one account classification to another; and</w:t>
      </w:r>
      <w:r w:rsidDel="00000000" w:rsidR="00000000" w:rsidRPr="00000000">
        <w:rPr>
          <w:rtl w:val="0"/>
        </w:rPr>
      </w:r>
    </w:p>
    <w:p w:rsidR="00000000" w:rsidDel="00000000" w:rsidP="00000000" w:rsidRDefault="00000000" w:rsidRPr="00000000" w14:paraId="0000000D">
      <w:pPr>
        <w:pageBreakBefore w:val="0"/>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WHEREAS, </w:t>
      </w:r>
      <w:r w:rsidDel="00000000" w:rsidR="00000000" w:rsidRPr="00000000">
        <w:rPr>
          <w:rFonts w:ascii="Times New Roman" w:cs="Times New Roman" w:eastAsia="Times New Roman" w:hAnsi="Times New Roman"/>
          <w:sz w:val="24"/>
          <w:szCs w:val="24"/>
          <w:rtl w:val="0"/>
        </w:rPr>
        <w:t xml:space="preserve">such transfers do not require the expenditure of more money that the total amount </w:t>
      </w:r>
    </w:p>
    <w:p w:rsidR="00000000" w:rsidDel="00000000" w:rsidP="00000000" w:rsidRDefault="00000000" w:rsidRPr="00000000" w14:paraId="0000000E">
      <w:pPr>
        <w:pageBreakBefore w:val="0"/>
        <w:spacing w:after="160" w:line="259"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out in the budget;</w:t>
      </w:r>
    </w:p>
    <w:p w:rsidR="00000000" w:rsidDel="00000000" w:rsidP="00000000" w:rsidRDefault="00000000" w:rsidRPr="00000000" w14:paraId="0000000F">
      <w:pPr>
        <w:pageBreakBefore w:val="0"/>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NOW THEREFORE BE IT RESOLVED</w:t>
      </w:r>
      <w:r w:rsidDel="00000000" w:rsidR="00000000" w:rsidRPr="00000000">
        <w:rPr>
          <w:rFonts w:ascii="Times New Roman" w:cs="Times New Roman" w:eastAsia="Times New Roman" w:hAnsi="Times New Roman"/>
          <w:sz w:val="24"/>
          <w:szCs w:val="24"/>
          <w:rtl w:val="0"/>
        </w:rPr>
        <w:t xml:space="preserve"> that is necessary at this time to make such transfers </w:t>
      </w:r>
    </w:p>
    <w:p w:rsidR="00000000" w:rsidDel="00000000" w:rsidP="00000000" w:rsidRDefault="00000000" w:rsidRPr="00000000" w14:paraId="00000010">
      <w:pPr>
        <w:pageBreakBefore w:val="0"/>
        <w:spacing w:after="160" w:line="259"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that such transfers be made as herein indicated and the proper officers of said school corporation be, and they are hereby authorized to make such transfers.</w:t>
      </w:r>
    </w:p>
    <w:p w:rsidR="00000000" w:rsidDel="00000000" w:rsidP="00000000" w:rsidRDefault="00000000" w:rsidRPr="00000000" w14:paraId="00000011">
      <w:pPr>
        <w:pageBreakBefore w:val="0"/>
        <w:spacing w:after="160"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spacing w:after="160" w:line="259"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Education Fund: </w:t>
        <w:tab/>
        <w:t xml:space="preserve">$4,681,373.96</w:t>
      </w:r>
    </w:p>
    <w:p w:rsidR="00000000" w:rsidDel="00000000" w:rsidP="00000000" w:rsidRDefault="00000000" w:rsidRPr="00000000" w14:paraId="00000013">
      <w:pPr>
        <w:pageBreakBefore w:val="0"/>
        <w:spacing w:after="160" w:line="259"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Operations Fund: </w:t>
        <w:tab/>
        <w:t xml:space="preserve">$3,613483.72</w:t>
      </w:r>
    </w:p>
    <w:p w:rsidR="00000000" w:rsidDel="00000000" w:rsidP="00000000" w:rsidRDefault="00000000" w:rsidRPr="00000000" w14:paraId="00000014">
      <w:pPr>
        <w:pageBreakBefore w:val="0"/>
        <w:spacing w:after="160" w:line="259" w:lineRule="auto"/>
        <w:ind w:left="216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Debt Service: </w:t>
        <w:tab/>
        <w:tab/>
        <w:t xml:space="preserve">$1,043,626.72</w:t>
      </w:r>
    </w:p>
    <w:p w:rsidR="00000000" w:rsidDel="00000000" w:rsidP="00000000" w:rsidRDefault="00000000" w:rsidRPr="00000000" w14:paraId="00000015">
      <w:pPr>
        <w:pageBreakBefore w:val="0"/>
        <w:spacing w:after="160" w:line="259" w:lineRule="auto"/>
        <w:ind w:left="2160"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Adopted this 24th day of January 2022.</w:t>
      </w:r>
    </w:p>
    <w:p w:rsidR="00000000" w:rsidDel="00000000" w:rsidP="00000000" w:rsidRDefault="00000000" w:rsidRPr="00000000" w14:paraId="0000001E">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pageBreakBefore w:val="0"/>
        <w:ind w:left="720" w:firstLine="72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AYE</w:t>
        <w:tab/>
        <w:tab/>
        <w:tab/>
        <w:tab/>
        <w:tab/>
        <w:tab/>
        <w:tab/>
        <w:tab/>
        <w:t xml:space="preserve">NAY</w:t>
      </w:r>
    </w:p>
    <w:p w:rsidR="00000000" w:rsidDel="00000000" w:rsidP="00000000" w:rsidRDefault="00000000" w:rsidRPr="00000000" w14:paraId="00000020">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1">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2">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4">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6">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8">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w:t>
        <w:tab/>
        <w:tab/>
        <w:tab/>
        <w:t xml:space="preserve">_________________________</w:t>
      </w:r>
    </w:p>
    <w:p w:rsidR="00000000" w:rsidDel="00000000" w:rsidP="00000000" w:rsidRDefault="00000000" w:rsidRPr="00000000" w14:paraId="0000002A">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ATTEST:</w:t>
      </w:r>
    </w:p>
    <w:p w:rsidR="00000000" w:rsidDel="00000000" w:rsidP="00000000" w:rsidRDefault="00000000" w:rsidRPr="00000000" w14:paraId="0000002C">
      <w:pPr>
        <w:pageBreakBefore w:val="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___________________________</w:t>
      </w:r>
    </w:p>
    <w:p w:rsidR="00000000" w:rsidDel="00000000" w:rsidP="00000000" w:rsidRDefault="00000000" w:rsidRPr="00000000" w14:paraId="0000002E">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Secretary</w:t>
      </w:r>
      <w:r w:rsidDel="00000000" w:rsidR="00000000" w:rsidRPr="00000000">
        <w:rPr>
          <w:rtl w:val="0"/>
        </w:rPr>
      </w:r>
    </w:p>
    <w:p w:rsidR="00000000" w:rsidDel="00000000" w:rsidP="00000000" w:rsidRDefault="00000000" w:rsidRPr="00000000" w14:paraId="0000002F">
      <w:pPr>
        <w:pageBreakBefore w:val="0"/>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0">
      <w:pPr>
        <w:pageBreakBefore w:val="0"/>
        <w:spacing w:after="160" w:line="259"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1">
      <w:pPr>
        <w:pageBreakBefore w:val="0"/>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8WLPm+iU+yrdxgstAi390KXhXw==">AMUW2mXw8kjOdHg6LPIuZI9AQWx6j9K/X22/LafD8lsqoUeYg5hDDX5khHv85GkIsB0oG1D2eRYpQd9BmvqkYoJOyOvixlwpzzACC1iIna7UZYcu8U7/HNA=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